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DBB83F0" w14:textId="77777777" w:rsidR="00163C51" w:rsidRPr="00163C51" w:rsidRDefault="00163C51" w:rsidP="00163C51">
      <w:pPr>
        <w:spacing w:after="0"/>
        <w:rPr>
          <w:rFonts w:ascii="Times New Roman" w:hAnsi="Times New Roman" w:cs="Times New Roman"/>
          <w:sz w:val="24"/>
          <w:szCs w:val="24"/>
        </w:rPr>
      </w:pPr>
    </w:p>
    <w:p w14:paraId="4DC18D0A" w14:textId="3CA69314" w:rsidR="00163C51" w:rsidRPr="00163C51" w:rsidRDefault="007D1A3D" w:rsidP="00163C51">
      <w:pPr>
        <w:pStyle w:val="Heading2"/>
        <w:rPr>
          <w:rFonts w:ascii="Times New Roman" w:hAnsi="Times New Roman" w:cs="Times New Roman"/>
          <w:color w:val="auto"/>
          <w:sz w:val="24"/>
          <w:szCs w:val="24"/>
        </w:rPr>
      </w:pPr>
      <w:bookmarkStart w:id="0" w:name="_Toc308703795"/>
      <w:r>
        <w:rPr>
          <w:rFonts w:ascii="Times New Roman" w:hAnsi="Times New Roman" w:cs="Times New Roman"/>
          <w:color w:val="auto"/>
          <w:sz w:val="24"/>
          <w:szCs w:val="24"/>
        </w:rPr>
        <w:t xml:space="preserve">Primary Document: </w:t>
      </w:r>
      <w:r w:rsidR="00163C51" w:rsidRPr="00163C51">
        <w:rPr>
          <w:rFonts w:ascii="Times New Roman" w:hAnsi="Times New Roman" w:cs="Times New Roman"/>
          <w:color w:val="auto"/>
          <w:sz w:val="24"/>
          <w:szCs w:val="24"/>
        </w:rPr>
        <w:t>University of Connecticut Writing Center</w:t>
      </w:r>
      <w:bookmarkEnd w:id="0"/>
    </w:p>
    <w:p w14:paraId="154CA668" w14:textId="77777777" w:rsidR="00163C51" w:rsidRPr="00163C51" w:rsidRDefault="00163C51" w:rsidP="00163C51">
      <w:pPr>
        <w:rPr>
          <w:rFonts w:ascii="Times New Roman" w:hAnsi="Times New Roman" w:cs="Times New Roman"/>
          <w:sz w:val="24"/>
          <w:szCs w:val="24"/>
        </w:rPr>
      </w:pPr>
    </w:p>
    <w:p w14:paraId="38989B3B" w14:textId="77777777" w:rsidR="00163C51" w:rsidRPr="00163C51" w:rsidRDefault="00163C51" w:rsidP="00163C51">
      <w:pPr>
        <w:jc w:val="center"/>
        <w:rPr>
          <w:rFonts w:ascii="Times New Roman" w:hAnsi="Times New Roman" w:cs="Times New Roman"/>
          <w:sz w:val="24"/>
          <w:szCs w:val="24"/>
        </w:rPr>
      </w:pPr>
      <w:r w:rsidRPr="00163C51">
        <w:rPr>
          <w:rFonts w:ascii="Times New Roman" w:hAnsi="Times New Roman" w:cs="Times New Roman"/>
          <w:sz w:val="24"/>
          <w:szCs w:val="24"/>
        </w:rPr>
        <w:t>Thomas Deans and Kathleen Tonry</w:t>
      </w:r>
    </w:p>
    <w:p w14:paraId="5187E9CB" w14:textId="77777777" w:rsidR="00163C51" w:rsidRPr="00163C51" w:rsidRDefault="00163C51" w:rsidP="00163C51">
      <w:pPr>
        <w:spacing w:after="0"/>
        <w:rPr>
          <w:rFonts w:ascii="Times New Roman" w:hAnsi="Times New Roman" w:cs="Times New Roman"/>
          <w:sz w:val="24"/>
          <w:szCs w:val="24"/>
        </w:rPr>
      </w:pPr>
    </w:p>
    <w:p w14:paraId="6620F5E6" w14:textId="7B97FDAA" w:rsidR="00163C51" w:rsidRPr="00163C51" w:rsidRDefault="00163C51" w:rsidP="00163C51">
      <w:pPr>
        <w:spacing w:after="0"/>
        <w:rPr>
          <w:rFonts w:ascii="Times New Roman" w:hAnsi="Times New Roman" w:cs="Times New Roman"/>
          <w:sz w:val="24"/>
          <w:szCs w:val="24"/>
        </w:rPr>
      </w:pPr>
      <w:r w:rsidRPr="00163C51">
        <w:rPr>
          <w:rFonts w:ascii="Times New Roman" w:hAnsi="Times New Roman" w:cs="Times New Roman"/>
          <w:sz w:val="24"/>
          <w:szCs w:val="24"/>
        </w:rPr>
        <w:t xml:space="preserve">We never had to campaign to create our center. Instead, before either of us was hired, </w:t>
      </w:r>
      <w:r w:rsidR="00BD3A9A">
        <w:rPr>
          <w:rFonts w:ascii="Times New Roman" w:hAnsi="Times New Roman" w:cs="Times New Roman"/>
          <w:sz w:val="24"/>
          <w:szCs w:val="24"/>
        </w:rPr>
        <w:t xml:space="preserve">committees of </w:t>
      </w:r>
      <w:r w:rsidRPr="00163C51">
        <w:rPr>
          <w:rFonts w:ascii="Times New Roman" w:hAnsi="Times New Roman" w:cs="Times New Roman"/>
          <w:sz w:val="24"/>
          <w:szCs w:val="24"/>
        </w:rPr>
        <w:t>faculty and ad</w:t>
      </w:r>
      <w:r w:rsidR="00BD3A9A">
        <w:rPr>
          <w:rFonts w:ascii="Times New Roman" w:hAnsi="Times New Roman" w:cs="Times New Roman"/>
          <w:sz w:val="24"/>
          <w:szCs w:val="24"/>
        </w:rPr>
        <w:t xml:space="preserve">ministrators </w:t>
      </w:r>
      <w:r w:rsidRPr="00163C51">
        <w:rPr>
          <w:rFonts w:ascii="Times New Roman" w:hAnsi="Times New Roman" w:cs="Times New Roman"/>
          <w:sz w:val="24"/>
          <w:szCs w:val="24"/>
        </w:rPr>
        <w:t>had already articu</w:t>
      </w:r>
      <w:r w:rsidR="00BE4813">
        <w:rPr>
          <w:rFonts w:ascii="Times New Roman" w:hAnsi="Times New Roman" w:cs="Times New Roman"/>
          <w:sz w:val="24"/>
          <w:szCs w:val="24"/>
        </w:rPr>
        <w:t>lated a need for a substantial, faculty-led writing center</w:t>
      </w:r>
      <w:r w:rsidRPr="00163C51">
        <w:rPr>
          <w:rFonts w:ascii="Times New Roman" w:hAnsi="Times New Roman" w:cs="Times New Roman"/>
          <w:sz w:val="24"/>
          <w:szCs w:val="24"/>
        </w:rPr>
        <w:t xml:space="preserve"> within the context of a larger </w:t>
      </w:r>
      <w:r w:rsidR="00BD3A9A">
        <w:rPr>
          <w:rFonts w:ascii="Times New Roman" w:hAnsi="Times New Roman" w:cs="Times New Roman"/>
          <w:sz w:val="24"/>
          <w:szCs w:val="24"/>
        </w:rPr>
        <w:t>general education reform</w:t>
      </w:r>
      <w:r w:rsidRPr="00163C51">
        <w:rPr>
          <w:rFonts w:ascii="Times New Roman" w:hAnsi="Times New Roman" w:cs="Times New Roman"/>
          <w:sz w:val="24"/>
          <w:szCs w:val="24"/>
        </w:rPr>
        <w:t>. We we</w:t>
      </w:r>
      <w:r w:rsidR="00BD3A9A">
        <w:rPr>
          <w:rFonts w:ascii="Times New Roman" w:hAnsi="Times New Roman" w:cs="Times New Roman"/>
          <w:sz w:val="24"/>
          <w:szCs w:val="24"/>
        </w:rPr>
        <w:t>re then hired as an integral part of the writing component of that curricular reform.</w:t>
      </w:r>
    </w:p>
    <w:p w14:paraId="19865AA3" w14:textId="77777777" w:rsidR="00163C51" w:rsidRPr="00163C51" w:rsidRDefault="00163C51" w:rsidP="00163C51">
      <w:pPr>
        <w:spacing w:after="0"/>
        <w:rPr>
          <w:rFonts w:ascii="Times New Roman" w:hAnsi="Times New Roman" w:cs="Times New Roman"/>
          <w:sz w:val="24"/>
          <w:szCs w:val="24"/>
        </w:rPr>
      </w:pPr>
    </w:p>
    <w:p w14:paraId="524FF023" w14:textId="2EFE832F" w:rsidR="00163C51" w:rsidRDefault="00163C51" w:rsidP="00163C51">
      <w:pPr>
        <w:spacing w:after="0"/>
        <w:rPr>
          <w:rFonts w:ascii="Times New Roman" w:hAnsi="Times New Roman" w:cs="Times New Roman"/>
          <w:sz w:val="24"/>
          <w:szCs w:val="24"/>
        </w:rPr>
      </w:pPr>
      <w:r w:rsidRPr="00163C51">
        <w:rPr>
          <w:rFonts w:ascii="Times New Roman" w:hAnsi="Times New Roman" w:cs="Times New Roman"/>
          <w:sz w:val="24"/>
          <w:szCs w:val="24"/>
        </w:rPr>
        <w:t xml:space="preserve">Below is an excerpt from UConn’s 2003 General Education Guidelines. This document frames the </w:t>
      </w:r>
      <w:r w:rsidR="00BE4813">
        <w:rPr>
          <w:rFonts w:ascii="Times New Roman" w:hAnsi="Times New Roman" w:cs="Times New Roman"/>
          <w:sz w:val="24"/>
          <w:szCs w:val="24"/>
        </w:rPr>
        <w:t xml:space="preserve">University Writing Center </w:t>
      </w:r>
      <w:r w:rsidRPr="00163C51">
        <w:rPr>
          <w:rFonts w:ascii="Times New Roman" w:hAnsi="Times New Roman" w:cs="Times New Roman"/>
          <w:sz w:val="24"/>
          <w:szCs w:val="24"/>
        </w:rPr>
        <w:t xml:space="preserve">as </w:t>
      </w:r>
      <w:r w:rsidR="00BD3A9A">
        <w:rPr>
          <w:rFonts w:ascii="Times New Roman" w:hAnsi="Times New Roman" w:cs="Times New Roman"/>
          <w:sz w:val="24"/>
          <w:szCs w:val="24"/>
        </w:rPr>
        <w:t>part of</w:t>
      </w:r>
      <w:r w:rsidRPr="00163C51">
        <w:rPr>
          <w:rFonts w:ascii="Times New Roman" w:hAnsi="Times New Roman" w:cs="Times New Roman"/>
          <w:sz w:val="24"/>
          <w:szCs w:val="24"/>
        </w:rPr>
        <w:t xml:space="preserve"> larger general education effort. </w:t>
      </w:r>
    </w:p>
    <w:p w14:paraId="47CD0439" w14:textId="77777777" w:rsidR="00D613CE" w:rsidRDefault="00D613CE" w:rsidP="00163C51">
      <w:pPr>
        <w:spacing w:after="0"/>
        <w:rPr>
          <w:rFonts w:ascii="Times New Roman" w:hAnsi="Times New Roman" w:cs="Times New Roman"/>
          <w:sz w:val="24"/>
          <w:szCs w:val="24"/>
        </w:rPr>
      </w:pPr>
    </w:p>
    <w:p w14:paraId="1343A0D8" w14:textId="7AAF061D" w:rsidR="00D613CE" w:rsidRPr="00163C51" w:rsidRDefault="00D613CE" w:rsidP="00D613CE">
      <w:pPr>
        <w:rPr>
          <w:rFonts w:ascii="Times New Roman" w:hAnsi="Times New Roman" w:cs="Times New Roman"/>
          <w:sz w:val="24"/>
          <w:szCs w:val="24"/>
        </w:rPr>
      </w:pPr>
      <w:r w:rsidRPr="00163C51">
        <w:rPr>
          <w:rFonts w:ascii="Times New Roman" w:hAnsi="Times New Roman" w:cs="Times New Roman"/>
          <w:sz w:val="24"/>
          <w:szCs w:val="24"/>
        </w:rPr>
        <w:t xml:space="preserve">We have not been entirely faithful to the letter </w:t>
      </w:r>
      <w:r w:rsidR="00BD3A9A">
        <w:rPr>
          <w:rFonts w:ascii="Times New Roman" w:hAnsi="Times New Roman" w:cs="Times New Roman"/>
          <w:sz w:val="24"/>
          <w:szCs w:val="24"/>
        </w:rPr>
        <w:t>of this document</w:t>
      </w:r>
      <w:r>
        <w:rPr>
          <w:rFonts w:ascii="Times New Roman" w:hAnsi="Times New Roman" w:cs="Times New Roman"/>
          <w:sz w:val="24"/>
          <w:szCs w:val="24"/>
        </w:rPr>
        <w:t>—f</w:t>
      </w:r>
      <w:r w:rsidRPr="00163C51">
        <w:rPr>
          <w:rFonts w:ascii="Times New Roman" w:hAnsi="Times New Roman" w:cs="Times New Roman"/>
          <w:sz w:val="24"/>
          <w:szCs w:val="24"/>
        </w:rPr>
        <w:t>or example, we do not maintain an archive of all W syllabi and our tutors are predominantly undergraduates r</w:t>
      </w:r>
      <w:r w:rsidR="00BD3A9A">
        <w:rPr>
          <w:rFonts w:ascii="Times New Roman" w:hAnsi="Times New Roman" w:cs="Times New Roman"/>
          <w:sz w:val="24"/>
          <w:szCs w:val="24"/>
        </w:rPr>
        <w:t>ather than graduate students—b</w:t>
      </w:r>
      <w:r w:rsidRPr="00163C51">
        <w:rPr>
          <w:rFonts w:ascii="Times New Roman" w:hAnsi="Times New Roman" w:cs="Times New Roman"/>
          <w:sz w:val="24"/>
          <w:szCs w:val="24"/>
        </w:rPr>
        <w:t>ut we hav</w:t>
      </w:r>
      <w:r w:rsidR="007D1A3D">
        <w:rPr>
          <w:rFonts w:ascii="Times New Roman" w:hAnsi="Times New Roman" w:cs="Times New Roman"/>
          <w:sz w:val="24"/>
          <w:szCs w:val="24"/>
        </w:rPr>
        <w:t>e been faithful to its spirit</w:t>
      </w:r>
      <w:r w:rsidR="00BD3A9A">
        <w:rPr>
          <w:rFonts w:ascii="Times New Roman" w:hAnsi="Times New Roman" w:cs="Times New Roman"/>
          <w:sz w:val="24"/>
          <w:szCs w:val="24"/>
        </w:rPr>
        <w:t xml:space="preserve">. This origin story </w:t>
      </w:r>
      <w:bookmarkStart w:id="1" w:name="_GoBack"/>
      <w:bookmarkEnd w:id="1"/>
      <w:r w:rsidRPr="00163C51">
        <w:rPr>
          <w:rFonts w:ascii="Times New Roman" w:hAnsi="Times New Roman" w:cs="Times New Roman"/>
          <w:sz w:val="24"/>
          <w:szCs w:val="24"/>
        </w:rPr>
        <w:t xml:space="preserve">led us to one of the conclusions in our program profile: that a particularly opportune time to found a large writing center/WAC hybrid like ours is when a curriculum overhaul is afoot. </w:t>
      </w:r>
    </w:p>
    <w:p w14:paraId="1F27D5C7" w14:textId="5C0EDDF3" w:rsidR="00D613CE" w:rsidRPr="00163C51" w:rsidRDefault="007D1A3D" w:rsidP="00163C51">
      <w:pPr>
        <w:spacing w:after="0"/>
        <w:rPr>
          <w:rFonts w:ascii="Times New Roman" w:hAnsi="Times New Roman" w:cs="Times New Roman"/>
          <w:sz w:val="24"/>
          <w:szCs w:val="24"/>
        </w:rPr>
      </w:pPr>
      <w:r w:rsidRPr="00163C51">
        <w:rPr>
          <w:rFonts w:ascii="Times New Roman" w:hAnsi="Times New Roman" w:cs="Times New Roman"/>
          <w:sz w:val="24"/>
          <w:szCs w:val="24"/>
        </w:rPr>
        <w:t xml:space="preserve">UConn’s full general education guidelines are available online (http://geoc.uconn.edu/geoc-guidelines/), </w:t>
      </w:r>
      <w:r>
        <w:rPr>
          <w:rFonts w:ascii="Times New Roman" w:hAnsi="Times New Roman" w:cs="Times New Roman"/>
          <w:sz w:val="24"/>
          <w:szCs w:val="24"/>
        </w:rPr>
        <w:t>although it is likely that the</w:t>
      </w:r>
      <w:r w:rsidRPr="00163C51">
        <w:rPr>
          <w:rFonts w:ascii="Times New Roman" w:hAnsi="Times New Roman" w:cs="Times New Roman"/>
          <w:sz w:val="24"/>
          <w:szCs w:val="24"/>
        </w:rPr>
        <w:t xml:space="preserve"> guidelines will be superseded at s</w:t>
      </w:r>
      <w:r>
        <w:rPr>
          <w:rFonts w:ascii="Times New Roman" w:hAnsi="Times New Roman" w:cs="Times New Roman"/>
          <w:sz w:val="24"/>
          <w:szCs w:val="24"/>
        </w:rPr>
        <w:t>ome point by a future</w:t>
      </w:r>
      <w:r w:rsidRPr="00163C51">
        <w:rPr>
          <w:rFonts w:ascii="Times New Roman" w:hAnsi="Times New Roman" w:cs="Times New Roman"/>
          <w:sz w:val="24"/>
          <w:szCs w:val="24"/>
        </w:rPr>
        <w:t xml:space="preserve"> reform of UConn’s general education program.</w:t>
      </w:r>
    </w:p>
    <w:p w14:paraId="5FBC4F25" w14:textId="77777777" w:rsidR="00163C51" w:rsidRPr="00163C51" w:rsidRDefault="00163C51" w:rsidP="00163C51">
      <w:pPr>
        <w:spacing w:after="0"/>
        <w:rPr>
          <w:rFonts w:ascii="Times New Roman" w:hAnsi="Times New Roman" w:cs="Times New Roman"/>
          <w:sz w:val="24"/>
          <w:szCs w:val="24"/>
        </w:rPr>
      </w:pPr>
    </w:p>
    <w:p w14:paraId="563535E0" w14:textId="77777777" w:rsidR="00163C51" w:rsidRPr="00163C51" w:rsidRDefault="00163C51" w:rsidP="00163C51">
      <w:pPr>
        <w:widowControl w:val="0"/>
        <w:autoSpaceDE w:val="0"/>
        <w:autoSpaceDN w:val="0"/>
        <w:adjustRightInd w:val="0"/>
        <w:spacing w:after="0" w:line="240" w:lineRule="auto"/>
        <w:ind w:left="720"/>
        <w:rPr>
          <w:rFonts w:ascii="Arial" w:hAnsi="Arial" w:cs="Arial"/>
          <w:b/>
          <w:color w:val="262626"/>
          <w:sz w:val="24"/>
          <w:szCs w:val="24"/>
        </w:rPr>
      </w:pPr>
      <w:r w:rsidRPr="00163C51">
        <w:rPr>
          <w:rFonts w:ascii="Arial" w:hAnsi="Arial" w:cs="Arial"/>
          <w:b/>
          <w:color w:val="262626"/>
          <w:sz w:val="24"/>
          <w:szCs w:val="24"/>
        </w:rPr>
        <w:t>Definition of Writing Competency for General Education</w:t>
      </w:r>
    </w:p>
    <w:p w14:paraId="5260C0BE" w14:textId="77777777" w:rsidR="00163C51" w:rsidRPr="00163C51" w:rsidRDefault="00163C51" w:rsidP="00163C51">
      <w:pPr>
        <w:widowControl w:val="0"/>
        <w:autoSpaceDE w:val="0"/>
        <w:autoSpaceDN w:val="0"/>
        <w:adjustRightInd w:val="0"/>
        <w:spacing w:after="0" w:line="240" w:lineRule="auto"/>
        <w:ind w:left="720"/>
        <w:rPr>
          <w:rFonts w:ascii="Arial" w:hAnsi="Arial" w:cs="Arial"/>
          <w:color w:val="262626"/>
          <w:sz w:val="24"/>
          <w:szCs w:val="24"/>
        </w:rPr>
      </w:pPr>
      <w:r w:rsidRPr="00163C51">
        <w:rPr>
          <w:rFonts w:ascii="Arial" w:hAnsi="Arial" w:cs="Arial"/>
          <w:color w:val="262626"/>
          <w:sz w:val="24"/>
          <w:szCs w:val="24"/>
        </w:rPr>
        <w:t>The writing across the curriculum W course requirements are designed to ensure that writing instruction continues after the Freshman English writing courses (English 1010 or English 1011). As one of the fundamental ways through which academic disciplines explore, construct, and communicate their various forms of knowledge, writing is an essential component of a university education. The goals of the Freshman English seminars emphasize   the need to “engage students in the work of academic inquiry through the interpretation of difficult texts, [to help them participate in] the issues and arguments that animate the texts, and [to reflect] on the significance for academic and general culture and for themselves of the critical work of reading and writing” (Freshman English Seminar Description 1). The W requirement extends that work to other courses with an emphasis on the significance of writing in individual major fields of study.</w:t>
      </w:r>
    </w:p>
    <w:p w14:paraId="64CF2837" w14:textId="77777777" w:rsidR="00163C51" w:rsidRPr="00163C51" w:rsidRDefault="00163C51" w:rsidP="00163C51">
      <w:pPr>
        <w:widowControl w:val="0"/>
        <w:autoSpaceDE w:val="0"/>
        <w:autoSpaceDN w:val="0"/>
        <w:adjustRightInd w:val="0"/>
        <w:spacing w:after="0" w:line="240" w:lineRule="auto"/>
        <w:ind w:left="720"/>
        <w:rPr>
          <w:rFonts w:ascii="Arial" w:hAnsi="Arial" w:cs="Arial"/>
          <w:color w:val="262626"/>
          <w:sz w:val="24"/>
          <w:szCs w:val="24"/>
        </w:rPr>
      </w:pPr>
    </w:p>
    <w:p w14:paraId="7A46B519" w14:textId="77777777" w:rsidR="00163C51" w:rsidRPr="00163C51" w:rsidRDefault="00163C51" w:rsidP="00163C51">
      <w:pPr>
        <w:widowControl w:val="0"/>
        <w:autoSpaceDE w:val="0"/>
        <w:autoSpaceDN w:val="0"/>
        <w:adjustRightInd w:val="0"/>
        <w:spacing w:after="0" w:line="240" w:lineRule="auto"/>
        <w:ind w:left="720"/>
        <w:rPr>
          <w:rFonts w:ascii="Arial" w:hAnsi="Arial" w:cs="Arial"/>
          <w:color w:val="262626"/>
          <w:sz w:val="24"/>
          <w:szCs w:val="24"/>
        </w:rPr>
      </w:pPr>
      <w:r w:rsidRPr="00163C51">
        <w:rPr>
          <w:rFonts w:ascii="Arial" w:hAnsi="Arial" w:cs="Arial"/>
          <w:color w:val="262626"/>
          <w:sz w:val="24"/>
          <w:szCs w:val="24"/>
        </w:rPr>
        <w:t xml:space="preserve">W courses should demonstrate for students the relationship between the writing in the course and the content learning goals of the course. Students should not write simply to be evaluated; they should learn how </w:t>
      </w:r>
      <w:r w:rsidRPr="00163C51">
        <w:rPr>
          <w:rFonts w:ascii="Arial" w:hAnsi="Arial" w:cs="Arial"/>
          <w:color w:val="262626"/>
          <w:sz w:val="24"/>
          <w:szCs w:val="24"/>
        </w:rPr>
        <w:lastRenderedPageBreak/>
        <w:t>writing can ground, extend, deepen, and even enable their learning of the course material. In addition then to the general formal questions concerning strategies for developing ideas, clarity of organization, and effectiveness of expression, and the discipline specific format, evidentiary, and stylistic norms, the W requirement should lead students to understand the relationship between their own thinking and writing in a way that will help them continue to develop both throughout their lives and careers after graduation.</w:t>
      </w:r>
    </w:p>
    <w:p w14:paraId="059E683C" w14:textId="77777777" w:rsidR="00163C51" w:rsidRPr="00163C51" w:rsidRDefault="00163C51" w:rsidP="00163C51">
      <w:pPr>
        <w:widowControl w:val="0"/>
        <w:autoSpaceDE w:val="0"/>
        <w:autoSpaceDN w:val="0"/>
        <w:adjustRightInd w:val="0"/>
        <w:spacing w:after="0" w:line="240" w:lineRule="auto"/>
        <w:ind w:left="720"/>
        <w:rPr>
          <w:rFonts w:ascii="Arial" w:hAnsi="Arial" w:cs="Arial"/>
          <w:color w:val="262626"/>
          <w:sz w:val="24"/>
          <w:szCs w:val="24"/>
        </w:rPr>
      </w:pPr>
    </w:p>
    <w:p w14:paraId="29118BDB" w14:textId="77777777" w:rsidR="00163C51" w:rsidRPr="00163C51" w:rsidRDefault="00163C51" w:rsidP="00163C51">
      <w:pPr>
        <w:widowControl w:val="0"/>
        <w:autoSpaceDE w:val="0"/>
        <w:autoSpaceDN w:val="0"/>
        <w:adjustRightInd w:val="0"/>
        <w:spacing w:after="0" w:line="240" w:lineRule="auto"/>
        <w:ind w:left="720"/>
        <w:rPr>
          <w:rFonts w:ascii="Arial" w:hAnsi="Arial" w:cs="Arial"/>
          <w:color w:val="262626"/>
          <w:sz w:val="24"/>
          <w:szCs w:val="24"/>
        </w:rPr>
      </w:pPr>
      <w:r w:rsidRPr="00163C51">
        <w:rPr>
          <w:rFonts w:ascii="Arial" w:hAnsi="Arial" w:cs="Arial"/>
          <w:color w:val="262626"/>
          <w:sz w:val="24"/>
          <w:szCs w:val="24"/>
        </w:rPr>
        <w:t>The W requirement can be met in formats other than the standard three-credit course. For example, a department might add a fourth credit to a three-credit course to convert the course to a W; another department might adopt a portfolio assessment mechanism that requires substantial writing over a number of semesters’ work in the major; and another department might organize a series of partial W courses in sequence that when completed would fulfill the W requirement.</w:t>
      </w:r>
    </w:p>
    <w:p w14:paraId="212F2408" w14:textId="77777777" w:rsidR="00163C51" w:rsidRPr="00163C51" w:rsidRDefault="00163C51" w:rsidP="00163C51">
      <w:pPr>
        <w:widowControl w:val="0"/>
        <w:autoSpaceDE w:val="0"/>
        <w:autoSpaceDN w:val="0"/>
        <w:adjustRightInd w:val="0"/>
        <w:spacing w:after="0" w:line="240" w:lineRule="auto"/>
        <w:ind w:left="720"/>
        <w:rPr>
          <w:rFonts w:ascii="Arial" w:hAnsi="Arial" w:cs="Arial"/>
          <w:color w:val="262626"/>
          <w:sz w:val="24"/>
          <w:szCs w:val="24"/>
        </w:rPr>
      </w:pPr>
    </w:p>
    <w:p w14:paraId="288607B9" w14:textId="77777777" w:rsidR="00163C51" w:rsidRPr="00163C51" w:rsidRDefault="00163C51" w:rsidP="00163C51">
      <w:pPr>
        <w:widowControl w:val="0"/>
        <w:autoSpaceDE w:val="0"/>
        <w:autoSpaceDN w:val="0"/>
        <w:adjustRightInd w:val="0"/>
        <w:spacing w:after="0" w:line="240" w:lineRule="auto"/>
        <w:ind w:left="720"/>
        <w:rPr>
          <w:rFonts w:ascii="Arial" w:hAnsi="Arial" w:cs="Arial"/>
          <w:color w:val="262626"/>
          <w:sz w:val="24"/>
          <w:szCs w:val="24"/>
        </w:rPr>
      </w:pPr>
      <w:r w:rsidRPr="00163C51">
        <w:rPr>
          <w:rFonts w:ascii="Arial" w:hAnsi="Arial" w:cs="Arial"/>
          <w:color w:val="262626"/>
          <w:sz w:val="24"/>
          <w:szCs w:val="24"/>
        </w:rPr>
        <w:t>The W requirement does not limit writing only to courses with a W designation; the requirement is designed to support and encourage writing instruction throughout the curriculum. Courses without a W designation, for example, still would commonly require that students write papers and essay examinations.</w:t>
      </w:r>
    </w:p>
    <w:p w14:paraId="38E2FC41" w14:textId="77777777" w:rsidR="00163C51" w:rsidRPr="00163C51" w:rsidRDefault="00163C51" w:rsidP="00163C51">
      <w:pPr>
        <w:widowControl w:val="0"/>
        <w:autoSpaceDE w:val="0"/>
        <w:autoSpaceDN w:val="0"/>
        <w:adjustRightInd w:val="0"/>
        <w:spacing w:after="0" w:line="240" w:lineRule="auto"/>
        <w:ind w:left="720"/>
        <w:rPr>
          <w:rFonts w:ascii="Arial" w:hAnsi="Arial" w:cs="Arial"/>
          <w:b/>
          <w:color w:val="262626"/>
          <w:sz w:val="24"/>
          <w:szCs w:val="24"/>
        </w:rPr>
      </w:pPr>
    </w:p>
    <w:p w14:paraId="76F41E5B" w14:textId="77777777" w:rsidR="00163C51" w:rsidRPr="00163C51" w:rsidRDefault="00163C51" w:rsidP="00163C51">
      <w:pPr>
        <w:widowControl w:val="0"/>
        <w:autoSpaceDE w:val="0"/>
        <w:autoSpaceDN w:val="0"/>
        <w:adjustRightInd w:val="0"/>
        <w:spacing w:after="0" w:line="240" w:lineRule="auto"/>
        <w:ind w:left="720"/>
        <w:rPr>
          <w:rFonts w:ascii="Arial" w:hAnsi="Arial" w:cs="Arial"/>
          <w:b/>
          <w:color w:val="262626"/>
          <w:sz w:val="24"/>
          <w:szCs w:val="24"/>
        </w:rPr>
      </w:pPr>
      <w:r w:rsidRPr="00163C51">
        <w:rPr>
          <w:rFonts w:ascii="Arial" w:hAnsi="Arial" w:cs="Arial"/>
          <w:b/>
          <w:color w:val="262626"/>
          <w:sz w:val="24"/>
          <w:szCs w:val="24"/>
        </w:rPr>
        <w:t>The University Writing Center</w:t>
      </w:r>
    </w:p>
    <w:p w14:paraId="0E3D739C" w14:textId="77777777" w:rsidR="00163C51" w:rsidRPr="00163C51" w:rsidRDefault="00163C51" w:rsidP="00163C51">
      <w:pPr>
        <w:ind w:left="720"/>
        <w:rPr>
          <w:rFonts w:ascii="Times New Roman" w:hAnsi="Times New Roman" w:cs="Times New Roman"/>
          <w:sz w:val="24"/>
          <w:szCs w:val="24"/>
        </w:rPr>
      </w:pPr>
      <w:r w:rsidRPr="00163C51">
        <w:rPr>
          <w:rFonts w:ascii="Arial" w:hAnsi="Arial" w:cs="Arial"/>
          <w:color w:val="262626"/>
          <w:sz w:val="24"/>
          <w:szCs w:val="24"/>
        </w:rPr>
        <w:t>Much of the outside-of-class work involved in writing instruction will be supported by qualified tutors in the University Writing Center at Storrs and the regional campuses. The center, directed by a senior, tenured faculty member with another faculty member as an assistant and a group of graduate student (and in some cases undergraduate) tutors from across the disciplines, will be a clearing house for writing issues throughout the University. The Director of the Writing Center will organize on all campuses faculty development workshops for W course instructors and will be responsible for organizing and supervising the W course instructor orientations/workshops. The Writing Center will train tutors, and the Writing Center office will house copies of all W course syllabi that have been approved by GEOC</w:t>
      </w:r>
      <w:r w:rsidRPr="00BE4813">
        <w:rPr>
          <w:rFonts w:ascii="Arial" w:hAnsi="Arial" w:cs="Arial"/>
          <w:color w:val="262626"/>
          <w:sz w:val="24"/>
          <w:szCs w:val="24"/>
        </w:rPr>
        <w:t>.</w:t>
      </w:r>
      <w:r w:rsidRPr="00BE4813">
        <w:rPr>
          <w:rFonts w:ascii="Arial" w:hAnsi="Arial" w:cs="Arial"/>
          <w:sz w:val="24"/>
          <w:szCs w:val="24"/>
        </w:rPr>
        <w:t xml:space="preserve"> </w:t>
      </w:r>
      <w:r w:rsidR="00BE4813" w:rsidRPr="00BE4813">
        <w:rPr>
          <w:rFonts w:ascii="Arial" w:hAnsi="Arial" w:cs="Arial"/>
          <w:sz w:val="24"/>
          <w:szCs w:val="24"/>
        </w:rPr>
        <w:t>(http://geoc.uconn.edu/writing-competency/)</w:t>
      </w:r>
    </w:p>
    <w:p w14:paraId="1A3C8B18" w14:textId="77777777" w:rsidR="00AA5710" w:rsidRPr="00163C51" w:rsidRDefault="00AA5710">
      <w:pPr>
        <w:rPr>
          <w:sz w:val="24"/>
          <w:szCs w:val="24"/>
        </w:rPr>
      </w:pPr>
    </w:p>
    <w:sectPr w:rsidR="00AA5710" w:rsidRPr="00163C51" w:rsidSect="0036153B">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altName w:val="Times"/>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Arial">
    <w:altName w:val="Arial"/>
    <w:panose1 w:val="020B0604020202020204"/>
    <w:charset w:val="00"/>
    <w:family w:val="auto"/>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3C51"/>
    <w:rsid w:val="00163C51"/>
    <w:rsid w:val="0036153B"/>
    <w:rsid w:val="007D1A3D"/>
    <w:rsid w:val="00AA5710"/>
    <w:rsid w:val="00BD3A9A"/>
    <w:rsid w:val="00BE4813"/>
    <w:rsid w:val="00D613CE"/>
    <w:rsid w:val="00E9126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84F667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3C51"/>
    <w:pPr>
      <w:spacing w:after="160" w:line="259" w:lineRule="auto"/>
    </w:pPr>
    <w:rPr>
      <w:rFonts w:eastAsiaTheme="minorHAnsi"/>
      <w:sz w:val="22"/>
      <w:szCs w:val="22"/>
    </w:rPr>
  </w:style>
  <w:style w:type="paragraph" w:styleId="Heading2">
    <w:name w:val="heading 2"/>
    <w:basedOn w:val="Normal"/>
    <w:next w:val="Normal"/>
    <w:link w:val="Heading2Char"/>
    <w:uiPriority w:val="9"/>
    <w:unhideWhenUsed/>
    <w:qFormat/>
    <w:rsid w:val="00163C51"/>
    <w:pPr>
      <w:keepNext/>
      <w:keepLines/>
      <w:spacing w:before="200" w:after="0" w:line="240" w:lineRule="auto"/>
      <w:jc w:val="center"/>
      <w:outlineLvl w:val="1"/>
    </w:pPr>
    <w:rPr>
      <w:rFonts w:asciiTheme="majorHAnsi" w:eastAsiaTheme="majorEastAsia" w:hAnsiTheme="majorHAnsi" w:cstheme="majorBidi"/>
      <w:b/>
      <w:bCs/>
      <w:color w:val="4F81BD" w:themeColor="accent1"/>
      <w:sz w:val="26"/>
      <w:szCs w:val="26"/>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163C51"/>
    <w:rPr>
      <w:rFonts w:asciiTheme="majorHAnsi" w:eastAsiaTheme="majorEastAsia" w:hAnsiTheme="majorHAnsi" w:cstheme="majorBidi"/>
      <w:b/>
      <w:bCs/>
      <w:color w:val="4F81BD" w:themeColor="accent1"/>
      <w:sz w:val="26"/>
      <w:szCs w:val="26"/>
      <w:lang w:val="en"/>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3C51"/>
    <w:pPr>
      <w:spacing w:after="160" w:line="259" w:lineRule="auto"/>
    </w:pPr>
    <w:rPr>
      <w:rFonts w:eastAsiaTheme="minorHAnsi"/>
      <w:sz w:val="22"/>
      <w:szCs w:val="22"/>
    </w:rPr>
  </w:style>
  <w:style w:type="paragraph" w:styleId="Heading2">
    <w:name w:val="heading 2"/>
    <w:basedOn w:val="Normal"/>
    <w:next w:val="Normal"/>
    <w:link w:val="Heading2Char"/>
    <w:uiPriority w:val="9"/>
    <w:unhideWhenUsed/>
    <w:qFormat/>
    <w:rsid w:val="00163C51"/>
    <w:pPr>
      <w:keepNext/>
      <w:keepLines/>
      <w:spacing w:before="200" w:after="0" w:line="240" w:lineRule="auto"/>
      <w:jc w:val="center"/>
      <w:outlineLvl w:val="1"/>
    </w:pPr>
    <w:rPr>
      <w:rFonts w:asciiTheme="majorHAnsi" w:eastAsiaTheme="majorEastAsia" w:hAnsiTheme="majorHAnsi" w:cstheme="majorBidi"/>
      <w:b/>
      <w:bCs/>
      <w:color w:val="4F81BD" w:themeColor="accent1"/>
      <w:sz w:val="26"/>
      <w:szCs w:val="26"/>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163C51"/>
    <w:rPr>
      <w:rFonts w:asciiTheme="majorHAnsi" w:eastAsiaTheme="majorEastAsia" w:hAnsiTheme="majorHAnsi" w:cstheme="majorBidi"/>
      <w:b/>
      <w:bCs/>
      <w:color w:val="4F81BD" w:themeColor="accent1"/>
      <w:sz w:val="26"/>
      <w:szCs w:val="26"/>
      <w:lang w:val="e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2</Pages>
  <Words>702</Words>
  <Characters>4002</Characters>
  <Application>Microsoft Macintosh Word</Application>
  <DocSecurity>0</DocSecurity>
  <Lines>33</Lines>
  <Paragraphs>9</Paragraphs>
  <ScaleCrop>false</ScaleCrop>
  <Company>University of Connecticut</Company>
  <LinksUpToDate>false</LinksUpToDate>
  <CharactersWithSpaces>4695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 Deans</dc:creator>
  <cp:keywords/>
  <dc:description/>
  <cp:lastModifiedBy>Tom Deans</cp:lastModifiedBy>
  <cp:revision>4</cp:revision>
  <dcterms:created xsi:type="dcterms:W3CDTF">2016-05-12T12:01:00Z</dcterms:created>
  <dcterms:modified xsi:type="dcterms:W3CDTF">2016-05-12T12:29:00Z</dcterms:modified>
</cp:coreProperties>
</file>